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2018年全国地级行政区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供电可靠性指标报告</w:t>
      </w: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2018年，全国333个地级行政区</w:t>
      </w:r>
      <w:r>
        <w:rPr>
          <w:rStyle w:val="7"/>
          <w:rFonts w:hint="eastAsia" w:ascii="仿宋_GB2312" w:hAnsi="仿宋_GB2312" w:cs="仿宋_GB2312"/>
        </w:rPr>
        <w:footnoteReference w:id="0"/>
      </w:r>
      <w:r>
        <w:rPr>
          <w:rFonts w:hint="eastAsia" w:ascii="仿宋_GB2312" w:hAnsi="仿宋_GB2312" w:cs="仿宋_GB2312"/>
        </w:rPr>
        <w:t>平均供电可靠率</w:t>
      </w:r>
      <w:r>
        <w:rPr>
          <w:rStyle w:val="7"/>
          <w:rFonts w:hint="eastAsia" w:ascii="仿宋_GB2312" w:hAnsi="仿宋_GB2312" w:cs="仿宋_GB2312"/>
        </w:rPr>
        <w:footnoteReference w:id="1"/>
      </w:r>
      <w:r>
        <w:rPr>
          <w:rFonts w:hint="eastAsia" w:ascii="仿宋_GB2312" w:hAnsi="仿宋_GB2312" w:cs="仿宋_GB2312"/>
        </w:rPr>
        <w:t>为99.826%，用户平均停电时间为15.26小时/户，用户平均停电频率为3.18次/户。其中，全国地级行政区城市用户平均停电时间为4.72小时/户，农村用户平均停电时间为18.95小时/户。</w:t>
      </w:r>
    </w:p>
    <w:p>
      <w:pPr>
        <w:ind w:firstLine="640" w:firstLineChars="200"/>
        <w:outlineLvl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一、计划单列市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cs="仿宋_GB2312"/>
        </w:rPr>
        <w:t>2018年，全国5个计划单列市用户平均停电时间为6.52小时/户，用户平均停电频率为1.78次/户。其中，城市用户平均停电时间为2.56小时/户，用户平均停电频率为0.52次/户；农村用户平均停电时间为10.01小时/户，用户平均停电频率为2.89次/户。各计划单列市供电可靠性指标见下表。</w:t>
      </w:r>
    </w:p>
    <w:tbl>
      <w:tblPr>
        <w:tblStyle w:val="5"/>
        <w:tblW w:w="9360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883"/>
        <w:gridCol w:w="884"/>
        <w:gridCol w:w="884"/>
        <w:gridCol w:w="883"/>
        <w:gridCol w:w="884"/>
        <w:gridCol w:w="884"/>
        <w:gridCol w:w="884"/>
        <w:gridCol w:w="884"/>
        <w:gridCol w:w="883"/>
        <w:gridCol w:w="4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Header/>
          <w:jc w:val="center"/>
        </w:trPr>
        <w:tc>
          <w:tcPr>
            <w:tcW w:w="922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1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  <w:bookmarkStart w:id="0" w:name="_Ref11316846"/>
            <w:r>
              <w:rPr>
                <w:rStyle w:val="7"/>
                <w:rFonts w:hint="eastAsia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footnoteReference w:id="2"/>
            </w:r>
            <w:bookmarkEnd w:id="0"/>
          </w:p>
        </w:tc>
        <w:tc>
          <w:tcPr>
            <w:tcW w:w="2651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1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5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  <w:bookmarkStart w:id="1" w:name="_Ref11316788"/>
            <w:r>
              <w:rPr>
                <w:rStyle w:val="7"/>
                <w:rFonts w:hint="eastAsia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footnoteReference w:id="3"/>
            </w:r>
            <w:bookmarkEnd w:id="1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Header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5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22" w:type="dxa"/>
            <w:tcBorders>
              <w:top w:val="single" w:color="FFFFFF" w:sz="12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大连市</w:t>
            </w:r>
          </w:p>
        </w:tc>
        <w:tc>
          <w:tcPr>
            <w:tcW w:w="883" w:type="dxa"/>
            <w:tcBorders>
              <w:top w:val="single" w:color="FFFFFF" w:sz="12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99.865</w:t>
            </w:r>
          </w:p>
        </w:tc>
        <w:tc>
          <w:tcPr>
            <w:tcW w:w="884" w:type="dxa"/>
            <w:tcBorders>
              <w:top w:val="single" w:color="FFFFFF" w:sz="12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11.86</w:t>
            </w:r>
          </w:p>
        </w:tc>
        <w:tc>
          <w:tcPr>
            <w:tcW w:w="884" w:type="dxa"/>
            <w:tcBorders>
              <w:top w:val="single" w:color="FFFFFF" w:sz="12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3.16</w:t>
            </w:r>
          </w:p>
        </w:tc>
        <w:tc>
          <w:tcPr>
            <w:tcW w:w="883" w:type="dxa"/>
            <w:tcBorders>
              <w:top w:val="single" w:color="FFFFFF" w:sz="12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99.970</w:t>
            </w:r>
          </w:p>
        </w:tc>
        <w:tc>
          <w:tcPr>
            <w:tcW w:w="884" w:type="dxa"/>
            <w:tcBorders>
              <w:top w:val="single" w:color="FFFFFF" w:sz="12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2.61</w:t>
            </w:r>
          </w:p>
        </w:tc>
        <w:tc>
          <w:tcPr>
            <w:tcW w:w="884" w:type="dxa"/>
            <w:tcBorders>
              <w:top w:val="single" w:color="FFFFFF" w:sz="12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884" w:type="dxa"/>
            <w:tcBorders>
              <w:top w:val="single" w:color="FFFFFF" w:sz="12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99.797</w:t>
            </w:r>
          </w:p>
        </w:tc>
        <w:tc>
          <w:tcPr>
            <w:tcW w:w="884" w:type="dxa"/>
            <w:tcBorders>
              <w:top w:val="single" w:color="FFFFFF" w:sz="12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17.75</w:t>
            </w:r>
          </w:p>
        </w:tc>
        <w:tc>
          <w:tcPr>
            <w:tcW w:w="883" w:type="dxa"/>
            <w:tcBorders>
              <w:top w:val="single" w:color="FFFFFF" w:sz="12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4.70</w:t>
            </w:r>
          </w:p>
        </w:tc>
        <w:tc>
          <w:tcPr>
            <w:tcW w:w="485" w:type="dxa"/>
            <w:tcBorders>
              <w:top w:val="single" w:color="FFFFFF" w:sz="12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2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青岛市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99.927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6.40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99.972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2.47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99.897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9.05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1.37</w:t>
            </w:r>
          </w:p>
        </w:tc>
        <w:tc>
          <w:tcPr>
            <w:tcW w:w="4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92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宁波市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99.921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6.93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2.71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99.977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2.02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99.909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7.95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3.11</w:t>
            </w:r>
          </w:p>
        </w:tc>
        <w:tc>
          <w:tcPr>
            <w:tcW w:w="4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2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厦门市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99.967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2.94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0.70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99.986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1.27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99.944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4.95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1.21</w:t>
            </w:r>
          </w:p>
        </w:tc>
        <w:tc>
          <w:tcPr>
            <w:tcW w:w="4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92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深圳市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99.966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2.97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99.966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2.97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4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</w:t>
            </w:r>
          </w:p>
        </w:tc>
      </w:tr>
    </w:tbl>
    <w:p>
      <w:pPr>
        <w:ind w:firstLine="640" w:firstLineChars="200"/>
        <w:outlineLvl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二、副省级市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2018年，全国除计划单列市外的10个副省级市用户平均停电时间为8.68小时/户，用户平均停电频率为1.88次/户。其中，城市用户平均停电时间为2.91小时/户，用户平均停电频率为0.60次/户；农村用户平均停电时间为13.99小时/户，用户平均停电频率为3.05次/户。各副省级市供电可靠性指标见下表。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广州市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武汉市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哈尔滨市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沈阳市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成都市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南京市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西安市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长春市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济南市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杭州市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</w:tbl>
    <w:p>
      <w:pPr>
        <w:ind w:firstLine="640" w:firstLineChars="200"/>
        <w:outlineLvl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三、其他地级行政区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2018年，全国除计划单列市、副省级市外的各地级行政区用户平均停电时间为16.16小时/户，用户平均停电频率为3.35次/户。其中，城市用户平均停电时间为5.21小时/户，用户平均停电频率为1.23次/户；农村用户平均停电时间为19.48小时/户，用户平均停电频率为3.99次/户。各省其他地级行政区供电可靠性指标见下表。</w:t>
      </w:r>
    </w:p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河北省</w:t>
      </w:r>
    </w:p>
    <w:tbl>
      <w:tblPr>
        <w:tblStyle w:val="5"/>
        <w:tblW w:w="93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石家庄市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承德市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张家口市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秦皇岛市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唐山市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廊坊市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保定市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沧州市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衡水市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邢台市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邯郸市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山西省</w:t>
      </w:r>
    </w:p>
    <w:tbl>
      <w:tblPr>
        <w:tblStyle w:val="5"/>
        <w:tblW w:w="93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3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7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太原市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大同市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朔州市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28.97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33.56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11.32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忻州市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29.29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33.85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12.36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吕梁市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晋中市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29.64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阳泉市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长治市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晋城市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临汾市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运城市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内蒙古自治区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3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7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呼和浩特市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包头市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呼伦贝尔市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28.69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兴安盟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32.82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39.71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通辽市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30.18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32.01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赤峰市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34.21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37.26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锡林郭勒盟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31.08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38.11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乌兰察布市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鄂尔多斯市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巴彦淖尔市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29.10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33.05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乌海市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阿拉善盟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辽宁省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鞍山市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抚顺市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本溪市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丹东市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锦州市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营口市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阜新市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28.26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辽阳市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铁岭市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朝阳市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29.04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盘锦市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葫芦岛市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吉林省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吉林市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四平市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辽源市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通化市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白山市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松原市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白城市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延边朝鲜族自治州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黑龙江</w:t>
      </w:r>
      <w:r>
        <w:rPr>
          <w:rFonts w:hint="eastAsia" w:ascii="仿宋_GB2312" w:hAnsi="仿宋_GB2312" w:cs="仿宋_GB2312"/>
        </w:rPr>
        <w:t>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齐齐哈尔市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牡丹江市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佳木斯市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大庆市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鸡西市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双鸭山市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伊春市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七台河市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鹤岗市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黑河市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绥化市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大兴安岭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地区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江苏省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无锡市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徐州市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常州市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苏州市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南通市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连云港市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淮安市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盐城市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扬州市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镇江市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泰州市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宿迁市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浙江省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温州市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湖州市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嘉兴市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绍兴市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金华市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衢州市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舟山市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台州市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丽水市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安徽省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3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7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合肥市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淮北市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5.81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亳州市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宿州市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7.06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蚌埠市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阜阳市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淮南市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滁州市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六安市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马鞍山市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芜湖市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宣城市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铜陵市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池州市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安庆市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黄山市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福建省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福州市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漳州市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泉州市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三明市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莆田市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南平市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龙岩市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宁德市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江西省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南昌市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九江市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景德镇市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萍乡市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新余市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上饶市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鹰潭市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32.36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吉安市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赣州市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抚州市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宜春市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山东省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淄博市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枣庄市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东营市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烟台市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潍坊市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济宁市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泰安市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威海市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日照市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临沂市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德州市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聊城市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滨州市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菏泽市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河南省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郑州市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开封市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洛阳市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平顶山市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安阳市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鹤壁市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新乡市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焦作市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濮阳市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29.64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许昌市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漯河市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三门峡市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南阳市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商丘市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29.94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信阳市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周口市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驻马店市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湖北省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襄阳市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宜昌市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黄石市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十堰市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荆州市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荆门市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鄂州市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孝感市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黄冈市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咸宁市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随州市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恩施土家族苗族自治州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湖南省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长沙市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衡阳市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株洲市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湘潭市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邵阳市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岳阳市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常德市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张家界市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益阳市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郴州市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永州市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怀化市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娄底市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湘西土家族苗族自治州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广东省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3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7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珠海市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汕头市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佛山市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韶关市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河源市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梅州市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惠州市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汕尾市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东莞市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中山市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江门市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阳江市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湛江市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茂名市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肇庆市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清远市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潮州市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揭阳市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云浮市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广西壮族自治区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3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7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南宁市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柳州市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桂林市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梧州市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北海市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防城港市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钦州市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贵港市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玉林市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百色市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32.50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36.76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贺州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河池市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30.04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来宾市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崇左市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海南省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海口市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三亚市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三沙市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儋州市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28.28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四川省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3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7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自贡市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攀枝花市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泸州市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德阳市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绵阳市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广元市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遂宁市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内江市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乐山市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南充市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宜宾市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广安市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达州市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巴中市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雅安市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99.061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82.27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眉山市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资阳市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阿坝藏族羌族自治州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甘孜藏族自治州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凉山彝族自治州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贵州省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3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7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贵阳市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遵义市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30.75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9.23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六盘水市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安顺市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毕节市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铜仁市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11.60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黔东南苗族侗族自治州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8.39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黔南布依族苗族自治州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黔西南布依族苗族自治州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云南省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3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7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昆明市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曲靖市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玉溪市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昭通市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29.10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楚雄彝族自治州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26.07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红河哈尼族彝族自治州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丽江市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迪庆藏族自治州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32.10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文山壮族苗族自治州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31.98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32.88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西双版纳傣族自治州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28.97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普洱市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大理白族自治州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保山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德宏傣族景颇族自治州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怒江傈僳族自治州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31.97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36.06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临沧市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西藏自治区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6"/>
        <w:gridCol w:w="885"/>
        <w:gridCol w:w="885"/>
        <w:gridCol w:w="886"/>
        <w:gridCol w:w="885"/>
        <w:gridCol w:w="885"/>
        <w:gridCol w:w="886"/>
        <w:gridCol w:w="886"/>
        <w:gridCol w:w="885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6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6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7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2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2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拉萨市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99.266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64.26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9.75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52.60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98.181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21.83</w:t>
            </w:r>
          </w:p>
        </w:tc>
        <w:tc>
          <w:tcPr>
            <w:tcW w:w="4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林芝市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50.64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49.67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15.72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99.233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67.16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22.46</w:t>
            </w:r>
          </w:p>
        </w:tc>
        <w:tc>
          <w:tcPr>
            <w:tcW w:w="4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昌都市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47.53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9.51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46.62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99.327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58.94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12.69</w:t>
            </w:r>
          </w:p>
        </w:tc>
        <w:tc>
          <w:tcPr>
            <w:tcW w:w="4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日喀则市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99.353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56.65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11.71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52.37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98.901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96.30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21.41</w:t>
            </w:r>
          </w:p>
        </w:tc>
        <w:tc>
          <w:tcPr>
            <w:tcW w:w="4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山南市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50.42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8.81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50.87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9.18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99.441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48.94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阿里地区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51.61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31.92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51.61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31.92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那曲市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48.72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12.54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48.72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12.54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</w:tbl>
    <w:p>
      <w:pPr>
        <w:ind w:firstLine="640" w:firstLineChars="200"/>
        <w:outlineLvl w:val="0"/>
        <w:rPr>
          <w:rFonts w:ascii="楷体_GB2312" w:hAnsi="楷体_GB2312" w:eastAsia="楷体_GB2312" w:cs="楷体_GB2312"/>
        </w:rPr>
      </w:pPr>
      <w:r>
        <w:rPr>
          <w:rFonts w:ascii="楷体_GB2312" w:hAnsi="楷体_GB2312" w:eastAsia="楷体_GB2312" w:cs="楷体_GB2312"/>
        </w:rPr>
        <w:t>陕西省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宝鸡市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咸阳市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14.65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4.35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铜川市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22.04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渭南市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延安市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榆林市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汉中市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安康市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商洛市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19.67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甘肃省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6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兰州市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天水市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30.29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嘉峪关市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24.76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武威市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金昌市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24.52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酒泉市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张掖市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庆阳市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平凉市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25.18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28.54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白银市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23.83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定西市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陇南市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33.17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临夏回族自治州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甘南藏族自治州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27.88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4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青海省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85"/>
        <w:gridCol w:w="885"/>
        <w:gridCol w:w="885"/>
        <w:gridCol w:w="885"/>
        <w:gridCol w:w="885"/>
        <w:gridCol w:w="885"/>
        <w:gridCol w:w="885"/>
        <w:gridCol w:w="886"/>
        <w:gridCol w:w="886"/>
        <w:gridCol w:w="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7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4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4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西宁市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99.721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24.45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4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海东市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36.48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99.483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45.28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9.68</w:t>
            </w:r>
          </w:p>
        </w:tc>
        <w:tc>
          <w:tcPr>
            <w:tcW w:w="4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海南藏族自治州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30.74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99.610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34.20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4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海北藏族自治州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99.567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37.92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9.70</w:t>
            </w:r>
          </w:p>
        </w:tc>
        <w:tc>
          <w:tcPr>
            <w:tcW w:w="4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海西蒙古族藏族自治州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99.610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34.18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4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黄南藏族自治州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果洛藏族自治州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44.48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99.425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50.41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4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玉树藏族自治州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宁夏回族自治区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3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7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银川市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99.878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石嘴山市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24.16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吴忠市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99.884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固原市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26.88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中卫市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99.947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</w:tbl>
    <w:p>
      <w:pPr>
        <w:ind w:firstLine="640" w:firstLineChars="200"/>
        <w:outlineLvl w:val="0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新疆维吾尔自治区</w:t>
      </w:r>
    </w:p>
    <w:tbl>
      <w:tblPr>
        <w:tblStyle w:val="5"/>
        <w:tblW w:w="9375" w:type="dxa"/>
        <w:jc w:val="center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923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全口径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1+2+3+4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城市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eastAsia="宋体" w:cs="Arial"/>
                <w:b/>
                <w:color w:val="FFFFFF"/>
                <w:kern w:val="0"/>
                <w:sz w:val="16"/>
                <w:szCs w:val="16"/>
              </w:rPr>
              <w:t>1+2+3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）</w:t>
            </w:r>
          </w:p>
        </w:tc>
        <w:tc>
          <w:tcPr>
            <w:tcW w:w="2655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农村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（4）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指标区间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平均供电可靠率（%）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平均停电时间（时/户）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16"/>
                <w:szCs w:val="16"/>
              </w:rPr>
              <w:t>平均停电频率（次/户）</w:t>
            </w:r>
          </w:p>
        </w:tc>
        <w:tc>
          <w:tcPr>
            <w:tcW w:w="487" w:type="dxa"/>
            <w:vMerge w:val="continue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5B9BD5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乌鲁木齐市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99.906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伊犁哈萨克自治州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32.81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99.848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41.80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塔城地区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99.814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16.26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阿勒泰地区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18.69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12.15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20.93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博尔塔拉蒙古自治州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25.83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28.77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昌吉回族自治州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99.781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99.759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21.15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吐鲁番市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99.766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20.53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哈密市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99.772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19.97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99.912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99.749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22.03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巴音郭楞蒙古自治州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99.644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31.19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99.830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14.92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99.598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35.21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阿克苏地区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99.540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40.34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99.894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99.483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45.32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8.29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克孜勒苏柯尔克孜自治州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喀什地区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——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和田地区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99.362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55.90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10.38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99.803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17.27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99.296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61.71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11.26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3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BDD7EE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克拉玛依市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99.325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59.16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10.22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99.826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15.29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99.210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69.17</w:t>
            </w: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487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BDD7EE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6"/>
                <w:szCs w:val="16"/>
              </w:rPr>
              <w:t>E</w:t>
            </w:r>
          </w:p>
        </w:tc>
      </w:tr>
    </w:tbl>
    <w:p>
      <w:pPr>
        <w:outlineLvl w:val="0"/>
        <w:rPr>
          <w:rFonts w:ascii="仿宋_GB2312" w:hAnsi="仿宋_GB2312" w:cs="仿宋_GB2312"/>
          <w:sz w:val="21"/>
          <w:szCs w:val="21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</w:rPr>
                            <w:t>- 16 -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</w:rPr>
                      <w:t>- 16 -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ind w:firstLine="360"/>
        <w:rPr>
          <w:rFonts w:hint="default" w:ascii="Times New Roman" w:hAnsi="Times New Roman" w:eastAsia="仿宋_GB2312" w:cs="Times New Roman"/>
          <w:sz w:val="20"/>
          <w:szCs w:val="20"/>
          <w:lang w:eastAsia="zh-CN"/>
        </w:rPr>
      </w:pPr>
      <w:r>
        <w:rPr>
          <w:rFonts w:hint="default" w:ascii="Times New Roman" w:hAnsi="Times New Roman" w:eastAsia="仿宋" w:cs="Times New Roman"/>
          <w:sz w:val="20"/>
          <w:szCs w:val="20"/>
        </w:rPr>
        <w:footnoteRef/>
      </w:r>
      <w:r>
        <w:rPr>
          <w:rFonts w:hint="default" w:ascii="Times New Roman" w:hAnsi="Times New Roman" w:cs="Times New Roman"/>
          <w:sz w:val="20"/>
          <w:szCs w:val="20"/>
        </w:rPr>
        <w:t>. 地级行政区：</w:t>
      </w:r>
      <w:r>
        <w:rPr>
          <w:rFonts w:hint="default" w:ascii="Times New Roman" w:hAnsi="Times New Roman" w:cs="Times New Roman"/>
          <w:sz w:val="20"/>
          <w:szCs w:val="20"/>
          <w:lang w:eastAsia="zh-CN"/>
        </w:rPr>
        <w:t>包括地级市、地区、自治州、盟，来源于民政部门户网站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。</w:t>
      </w:r>
    </w:p>
  </w:footnote>
  <w:footnote w:id="1">
    <w:p>
      <w:pPr>
        <w:pStyle w:val="4"/>
        <w:ind w:firstLine="360"/>
        <w:rPr>
          <w:rFonts w:hint="default" w:ascii="Times New Roman" w:hAnsi="Times New Roman" w:eastAsia="仿宋_GB2312" w:cs="Times New Roman"/>
          <w:sz w:val="20"/>
          <w:szCs w:val="20"/>
          <w:lang w:eastAsia="zh-CN"/>
        </w:rPr>
      </w:pPr>
      <w:r>
        <w:rPr>
          <w:rFonts w:hint="default" w:ascii="Times New Roman" w:hAnsi="Times New Roman" w:eastAsia="仿宋" w:cs="Times New Roman"/>
          <w:sz w:val="20"/>
          <w:szCs w:val="20"/>
        </w:rPr>
        <w:footnoteRef/>
      </w:r>
      <w:r>
        <w:rPr>
          <w:rFonts w:hint="default" w:ascii="Times New Roman" w:hAnsi="Times New Roman" w:cs="Times New Roman"/>
          <w:sz w:val="20"/>
          <w:szCs w:val="20"/>
        </w:rPr>
        <w:t xml:space="preserve">. </w:t>
      </w:r>
      <w:r>
        <w:rPr>
          <w:rFonts w:hint="default" w:ascii="Times New Roman" w:hAnsi="Times New Roman" w:cs="Times New Roman"/>
          <w:sz w:val="20"/>
          <w:szCs w:val="20"/>
          <w:lang w:eastAsia="zh-CN"/>
        </w:rPr>
        <w:t>供电可靠性数据为地级行政区内国家电网公司、南方电网公司、内蒙古电力（集团）公司所属供电企业的数据。部分地级行政区无数据原因为：</w:t>
      </w:r>
      <w:r>
        <w:rPr>
          <w:rFonts w:hint="default" w:ascii="Times New Roman" w:hAnsi="Times New Roman" w:eastAsia="仿宋_GB2312" w:cs="Times New Roman"/>
          <w:sz w:val="20"/>
          <w:szCs w:val="20"/>
          <w:lang w:eastAsia="zh-CN"/>
        </w:rPr>
        <w:t>①</w:t>
      </w:r>
      <w:r>
        <w:rPr>
          <w:rFonts w:hint="default" w:ascii="Times New Roman" w:hAnsi="Times New Roman" w:cs="Times New Roman"/>
          <w:sz w:val="20"/>
          <w:szCs w:val="20"/>
          <w:lang w:eastAsia="zh-CN"/>
        </w:rPr>
        <w:t>供电企业未开展供电可靠性数据统计和报送；</w:t>
      </w:r>
      <w:r>
        <w:rPr>
          <w:rFonts w:hint="default" w:ascii="Times New Roman" w:hAnsi="Times New Roman" w:eastAsia="仿宋_GB2312" w:cs="Times New Roman"/>
          <w:sz w:val="20"/>
          <w:szCs w:val="20"/>
        </w:rPr>
        <w:t>②</w:t>
      </w:r>
      <w:r>
        <w:rPr>
          <w:rFonts w:hint="default" w:ascii="Times New Roman" w:hAnsi="Times New Roman" w:cs="Times New Roman"/>
          <w:sz w:val="20"/>
          <w:szCs w:val="20"/>
          <w:lang w:eastAsia="zh-CN"/>
        </w:rPr>
        <w:t>供电企业的营业区域跨两个及以上的地级行政区，未对数据按行政区域拆分；</w:t>
      </w:r>
      <w:r>
        <w:rPr>
          <w:rFonts w:hint="default" w:ascii="Times New Roman" w:hAnsi="Times New Roman" w:eastAsia="仿宋_GB2312" w:cs="Times New Roman"/>
          <w:sz w:val="20"/>
          <w:szCs w:val="20"/>
          <w:lang w:eastAsia="zh-CN"/>
        </w:rPr>
        <w:t>③</w:t>
      </w:r>
      <w:r>
        <w:rPr>
          <w:rFonts w:hint="default" w:ascii="Times New Roman" w:hAnsi="Times New Roman" w:cs="Times New Roman"/>
          <w:sz w:val="20"/>
          <w:szCs w:val="20"/>
          <w:lang w:eastAsia="zh-CN"/>
        </w:rPr>
        <w:t>深圳、广州供电企业可靠性管理未划分农村地区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。</w:t>
      </w:r>
    </w:p>
  </w:footnote>
  <w:footnote w:id="2">
    <w:p>
      <w:pPr>
        <w:pStyle w:val="4"/>
        <w:ind w:firstLine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仿宋" w:cs="Times New Roman"/>
          <w:sz w:val="20"/>
          <w:szCs w:val="20"/>
        </w:rPr>
        <w:footnoteRef/>
      </w:r>
      <w:r>
        <w:rPr>
          <w:rFonts w:hint="default" w:ascii="Times New Roman" w:hAnsi="Times New Roman" w:cs="Times New Roman"/>
          <w:sz w:val="20"/>
          <w:szCs w:val="20"/>
        </w:rPr>
        <w:t xml:space="preserve">. </w:t>
      </w:r>
      <w:r>
        <w:rPr>
          <w:rFonts w:hint="default" w:ascii="Times New Roman" w:hAnsi="Times New Roman" w:cs="Times New Roman"/>
          <w:sz w:val="20"/>
          <w:szCs w:val="20"/>
          <w:lang w:eastAsia="zh-CN"/>
        </w:rPr>
        <w:t>全口径范围：</w:t>
      </w:r>
      <w:r>
        <w:rPr>
          <w:rFonts w:hint="default" w:ascii="Times New Roman" w:hAnsi="Times New Roman" w:cs="Times New Roman"/>
          <w:sz w:val="20"/>
          <w:szCs w:val="20"/>
        </w:rPr>
        <w:t>1：市中心区，2：市区，3：城镇，4</w:t>
      </w:r>
      <w:r>
        <w:rPr>
          <w:rFonts w:hint="default" w:ascii="Times New Roman" w:hAnsi="Times New Roman" w:cs="Times New Roman"/>
          <w:sz w:val="20"/>
          <w:szCs w:val="20"/>
          <w:lang w:eastAsia="zh-CN"/>
        </w:rPr>
        <w:t>：</w:t>
      </w:r>
      <w:r>
        <w:rPr>
          <w:rFonts w:hint="default" w:ascii="Times New Roman" w:hAnsi="Times New Roman" w:cs="Times New Roman"/>
          <w:sz w:val="20"/>
          <w:szCs w:val="20"/>
        </w:rPr>
        <w:t>农村</w:t>
      </w:r>
      <w:r>
        <w:rPr>
          <w:rFonts w:hint="default" w:ascii="Times New Roman" w:hAnsi="Times New Roman" w:cs="Times New Roman"/>
          <w:sz w:val="20"/>
          <w:szCs w:val="20"/>
          <w:lang w:eastAsia="zh-CN"/>
        </w:rPr>
        <w:t>。</w:t>
      </w:r>
    </w:p>
  </w:footnote>
  <w:footnote w:id="3">
    <w:p>
      <w:pPr>
        <w:pStyle w:val="4"/>
        <w:ind w:firstLine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仿宋" w:cs="Times New Roman"/>
          <w:sz w:val="20"/>
          <w:szCs w:val="20"/>
        </w:rPr>
        <w:footnoteRef/>
      </w:r>
      <w:r>
        <w:rPr>
          <w:rFonts w:hint="default" w:ascii="Times New Roman" w:hAnsi="Times New Roman" w:cs="Times New Roman"/>
          <w:sz w:val="20"/>
          <w:szCs w:val="20"/>
        </w:rPr>
        <w:t>. 指标区间：按照全口径供电可靠率由高到低的顺序，</w:t>
      </w:r>
      <w:r>
        <w:rPr>
          <w:rFonts w:hint="default" w:ascii="Times New Roman" w:hAnsi="Times New Roman" w:cs="Times New Roman"/>
          <w:sz w:val="20"/>
          <w:szCs w:val="20"/>
          <w:lang w:eastAsia="zh-CN"/>
        </w:rPr>
        <w:t>平均分成五个区间（不包含全部指标为空的行政区），即：</w:t>
      </w:r>
      <w:r>
        <w:rPr>
          <w:rFonts w:hint="default" w:ascii="Times New Roman" w:hAnsi="Times New Roman" w:cs="Times New Roman"/>
          <w:sz w:val="20"/>
          <w:szCs w:val="20"/>
        </w:rPr>
        <w:t>地级行政区</w:t>
      </w:r>
      <w:r>
        <w:rPr>
          <w:rFonts w:hint="default" w:ascii="Times New Roman" w:hAnsi="Times New Roman" w:cs="Times New Roman"/>
          <w:sz w:val="20"/>
          <w:szCs w:val="20"/>
          <w:lang w:eastAsia="zh-CN"/>
        </w:rPr>
        <w:t>排名前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20%</w:t>
      </w:r>
      <w:r>
        <w:rPr>
          <w:rFonts w:hint="default" w:ascii="Times New Roman" w:hAnsi="Times New Roman" w:cs="Times New Roman"/>
          <w:sz w:val="20"/>
          <w:szCs w:val="20"/>
          <w:lang w:eastAsia="zh-CN"/>
        </w:rPr>
        <w:t>的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为A，20%-40%为B</w:t>
      </w:r>
      <w:r>
        <w:rPr>
          <w:rFonts w:hint="default" w:ascii="Times New Roman" w:hAnsi="Times New Roman" w:cs="Times New Roman"/>
          <w:sz w:val="20"/>
          <w:szCs w:val="20"/>
        </w:rPr>
        <w:t>，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40%-60%为C，60%-80%为D，80%-100%为E（各数值范围，下限值为不包含，上限值为包含）</w:t>
      </w:r>
      <w:r>
        <w:rPr>
          <w:rFonts w:hint="default" w:ascii="Times New Roman" w:hAnsi="Times New Roman" w:cs="Times New Roman"/>
          <w:sz w:val="20"/>
          <w:szCs w:val="20"/>
        </w:rPr>
        <w:t>。</w:t>
      </w:r>
      <w:bookmarkStart w:id="2" w:name="_GoBack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F349C"/>
    <w:rsid w:val="00143AEF"/>
    <w:rsid w:val="0019730D"/>
    <w:rsid w:val="00220A0F"/>
    <w:rsid w:val="00253CE9"/>
    <w:rsid w:val="00263A63"/>
    <w:rsid w:val="00346508"/>
    <w:rsid w:val="00351DF1"/>
    <w:rsid w:val="0039351B"/>
    <w:rsid w:val="003E30E1"/>
    <w:rsid w:val="003F1141"/>
    <w:rsid w:val="00435E8A"/>
    <w:rsid w:val="00510119"/>
    <w:rsid w:val="005134AF"/>
    <w:rsid w:val="00546B0D"/>
    <w:rsid w:val="00577EAB"/>
    <w:rsid w:val="005C798D"/>
    <w:rsid w:val="005D42FD"/>
    <w:rsid w:val="00625F52"/>
    <w:rsid w:val="00635814"/>
    <w:rsid w:val="00641613"/>
    <w:rsid w:val="00685996"/>
    <w:rsid w:val="006E753A"/>
    <w:rsid w:val="007C0246"/>
    <w:rsid w:val="007F22B5"/>
    <w:rsid w:val="007F5351"/>
    <w:rsid w:val="009A195C"/>
    <w:rsid w:val="009B5E33"/>
    <w:rsid w:val="009E0F33"/>
    <w:rsid w:val="00A02476"/>
    <w:rsid w:val="00A449AD"/>
    <w:rsid w:val="00A56483"/>
    <w:rsid w:val="00A7114B"/>
    <w:rsid w:val="00B87BB9"/>
    <w:rsid w:val="00BE147F"/>
    <w:rsid w:val="00BF78BB"/>
    <w:rsid w:val="00CA5581"/>
    <w:rsid w:val="00CB03D1"/>
    <w:rsid w:val="00E203B5"/>
    <w:rsid w:val="00E57721"/>
    <w:rsid w:val="00F91C1B"/>
    <w:rsid w:val="03B46DBB"/>
    <w:rsid w:val="03BD483F"/>
    <w:rsid w:val="04651029"/>
    <w:rsid w:val="04893C2F"/>
    <w:rsid w:val="04BC590A"/>
    <w:rsid w:val="0B886848"/>
    <w:rsid w:val="0FD24EBA"/>
    <w:rsid w:val="111C31F0"/>
    <w:rsid w:val="1664653D"/>
    <w:rsid w:val="195F3C58"/>
    <w:rsid w:val="25B34F83"/>
    <w:rsid w:val="26A520C7"/>
    <w:rsid w:val="26F6539C"/>
    <w:rsid w:val="2EF8712D"/>
    <w:rsid w:val="33AE1B39"/>
    <w:rsid w:val="358125BE"/>
    <w:rsid w:val="386E76B3"/>
    <w:rsid w:val="3AE50C30"/>
    <w:rsid w:val="3E1F17D1"/>
    <w:rsid w:val="3E3F349C"/>
    <w:rsid w:val="40AC11EC"/>
    <w:rsid w:val="41B00741"/>
    <w:rsid w:val="42A7173E"/>
    <w:rsid w:val="4B6A0CD2"/>
    <w:rsid w:val="4DB73036"/>
    <w:rsid w:val="4F133F63"/>
    <w:rsid w:val="5049669A"/>
    <w:rsid w:val="51586379"/>
    <w:rsid w:val="56284D4C"/>
    <w:rsid w:val="5ADB6CCF"/>
    <w:rsid w:val="5B936D8D"/>
    <w:rsid w:val="5D443332"/>
    <w:rsid w:val="61E55EC7"/>
    <w:rsid w:val="63386E08"/>
    <w:rsid w:val="6E1E074C"/>
    <w:rsid w:val="73E02BC3"/>
    <w:rsid w:val="73EF2F3F"/>
    <w:rsid w:val="7693474C"/>
    <w:rsid w:val="7995477D"/>
    <w:rsid w:val="79CC54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qFormat/>
    <w:uiPriority w:val="0"/>
    <w:rPr>
      <w:vertAlign w:val="superscript"/>
    </w:rPr>
  </w:style>
  <w:style w:type="character" w:customStyle="1" w:styleId="8">
    <w:name w:val="font31"/>
    <w:basedOn w:val="6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b/>
      <w:color w:val="FFFFFF"/>
      <w:sz w:val="16"/>
      <w:szCs w:val="16"/>
      <w:u w:val="none"/>
    </w:rPr>
  </w:style>
  <w:style w:type="character" w:customStyle="1" w:styleId="11">
    <w:name w:val="font21"/>
    <w:basedOn w:val="6"/>
    <w:qFormat/>
    <w:uiPriority w:val="0"/>
    <w:rPr>
      <w:rFonts w:hint="default" w:ascii="Arial" w:hAnsi="Arial" w:cs="Arial"/>
      <w:b/>
      <w:color w:val="FFFFFF"/>
      <w:sz w:val="16"/>
      <w:szCs w:val="16"/>
      <w:u w:val="none"/>
    </w:rPr>
  </w:style>
  <w:style w:type="character" w:customStyle="1" w:styleId="12">
    <w:name w:val="font61"/>
    <w:basedOn w:val="6"/>
    <w:qFormat/>
    <w:uiPriority w:val="0"/>
    <w:rPr>
      <w:rFonts w:hint="eastAsia" w:ascii="宋体" w:hAnsi="宋体" w:eastAsia="宋体" w:cs="宋体"/>
      <w:b/>
      <w:color w:val="FFFFFF"/>
      <w:sz w:val="16"/>
      <w:szCs w:val="16"/>
      <w:u w:val="none"/>
    </w:rPr>
  </w:style>
  <w:style w:type="character" w:customStyle="1" w:styleId="13">
    <w:name w:val="font01"/>
    <w:basedOn w:val="6"/>
    <w:qFormat/>
    <w:uiPriority w:val="0"/>
    <w:rPr>
      <w:rFonts w:hint="default" w:ascii="Arial" w:hAnsi="Arial" w:cs="Arial"/>
      <w:b/>
      <w:color w:val="FFFFFF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C54477-51DD-4C22-ADF8-B175516601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3722</Words>
  <Characters>21222</Characters>
  <Lines>176</Lines>
  <Paragraphs>49</Paragraphs>
  <TotalTime>1</TotalTime>
  <ScaleCrop>false</ScaleCrop>
  <LinksUpToDate>false</LinksUpToDate>
  <CharactersWithSpaces>24895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2019-06-05T02:09:00Z</dcterms:created>
  <dc:creator>黎丽</dc:creator>
  <cp:lastModifiedBy>黎丽</cp:lastModifiedBy>
  <cp:lastPrinted>2019-06-13T06:14:00Z</cp:lastPrinted>
  <dcterms:modified xsi:type="dcterms:W3CDTF">2019-07-01T06:23:33Z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